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6B6BA1">
        <w:trPr>
          <w:trHeight w:val="320"/>
        </w:trPr>
        <w:tc>
          <w:tcPr>
            <w:tcW w:w="10998" w:type="dxa"/>
            <w:tcBorders>
              <w:top w:val="single" w:sz="6" w:space="0" w:color="auto"/>
              <w:left w:val="single" w:sz="6" w:space="0" w:color="auto"/>
              <w:bottom w:val="single" w:sz="6" w:space="0" w:color="auto"/>
              <w:right w:val="single" w:sz="6" w:space="0" w:color="auto"/>
            </w:tcBorders>
          </w:tcPr>
          <w:p w:rsidR="006B6BA1" w:rsidRDefault="00064BF2" w:rsidP="004C17EC">
            <w:pPr>
              <w:jc w:val="center"/>
              <w:rPr>
                <w:rFonts w:ascii="Arial" w:hAnsi="Arial"/>
                <w:sz w:val="32"/>
              </w:rPr>
            </w:pPr>
            <w:r>
              <w:rPr>
                <w:rFonts w:ascii="Arial" w:hAnsi="Arial"/>
                <w:b/>
                <w:sz w:val="32"/>
              </w:rPr>
              <w:t xml:space="preserve"> 17. </w:t>
            </w:r>
            <w:r w:rsidR="004C17EC">
              <w:rPr>
                <w:rFonts w:ascii="Arial" w:hAnsi="Arial"/>
                <w:b/>
                <w:sz w:val="32"/>
              </w:rPr>
              <w:t xml:space="preserve"> Professional Development </w:t>
            </w:r>
            <w:r w:rsidR="00B60CC5">
              <w:rPr>
                <w:rFonts w:ascii="Arial" w:hAnsi="Arial"/>
                <w:b/>
                <w:sz w:val="32"/>
              </w:rPr>
              <w:t>P</w:t>
            </w:r>
            <w:r w:rsidR="004C17EC">
              <w:rPr>
                <w:rFonts w:ascii="Arial" w:hAnsi="Arial"/>
                <w:b/>
                <w:sz w:val="32"/>
              </w:rPr>
              <w:t>olicy</w:t>
            </w:r>
          </w:p>
        </w:tc>
      </w:tr>
    </w:tbl>
    <w:p w:rsidR="006B6BA1" w:rsidRDefault="006B6BA1">
      <w:pPr>
        <w:rPr>
          <w:rFonts w:ascii="Arial" w:hAnsi="Arial"/>
        </w:rPr>
      </w:pPr>
    </w:p>
    <w:p w:rsidR="006B6BA1" w:rsidRDefault="00B60CC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6B6BA1" w:rsidRDefault="006B6BA1">
      <w:pPr>
        <w:rPr>
          <w:rFonts w:ascii="Arial" w:hAnsi="Arial"/>
          <w:b/>
          <w:sz w:val="24"/>
        </w:rPr>
      </w:pPr>
    </w:p>
    <w:tbl>
      <w:tblPr>
        <w:tblW w:w="0" w:type="auto"/>
        <w:tblLayout w:type="fixed"/>
        <w:tblLook w:val="0000"/>
      </w:tblPr>
      <w:tblGrid>
        <w:gridCol w:w="360"/>
        <w:gridCol w:w="360"/>
        <w:gridCol w:w="2880"/>
        <w:gridCol w:w="7398"/>
      </w:tblGrid>
      <w:tr w:rsidR="006B6BA1">
        <w:trPr>
          <w:trHeight w:val="280"/>
        </w:trPr>
        <w:tc>
          <w:tcPr>
            <w:tcW w:w="360" w:type="dxa"/>
            <w:tcBorders>
              <w:top w:val="single" w:sz="6" w:space="0" w:color="auto"/>
              <w:left w:val="single" w:sz="6" w:space="0" w:color="auto"/>
              <w:bottom w:val="single" w:sz="6" w:space="0" w:color="auto"/>
              <w:right w:val="single" w:sz="6" w:space="0" w:color="auto"/>
            </w:tcBorders>
          </w:tcPr>
          <w:p w:rsidR="006B6BA1" w:rsidRDefault="006B6BA1">
            <w:pPr>
              <w:rPr>
                <w:rFonts w:ascii="Arial" w:hAnsi="Arial"/>
              </w:rPr>
            </w:pPr>
          </w:p>
        </w:tc>
        <w:tc>
          <w:tcPr>
            <w:tcW w:w="360" w:type="dxa"/>
            <w:tcBorders>
              <w:top w:val="nil"/>
              <w:left w:val="nil"/>
              <w:bottom w:val="nil"/>
              <w:right w:val="nil"/>
            </w:tcBorders>
          </w:tcPr>
          <w:p w:rsidR="006B6BA1" w:rsidRDefault="006B6BA1">
            <w:pPr>
              <w:rPr>
                <w:rFonts w:ascii="Arial" w:hAnsi="Arial"/>
              </w:rPr>
            </w:pPr>
          </w:p>
        </w:tc>
        <w:tc>
          <w:tcPr>
            <w:tcW w:w="2880" w:type="dxa"/>
            <w:tcBorders>
              <w:top w:val="nil"/>
              <w:left w:val="nil"/>
              <w:bottom w:val="nil"/>
              <w:right w:val="nil"/>
            </w:tcBorders>
          </w:tcPr>
          <w:p w:rsidR="006B6BA1" w:rsidRDefault="00B60CC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6B6BA1" w:rsidRDefault="00B60CC5">
            <w:pPr>
              <w:rPr>
                <w:rFonts w:ascii="Arial" w:hAnsi="Arial"/>
              </w:rPr>
            </w:pPr>
            <w:r>
              <w:rPr>
                <w:rFonts w:ascii="Arial" w:hAnsi="Arial"/>
              </w:rPr>
              <w:t xml:space="preserve">  </w:t>
            </w:r>
          </w:p>
        </w:tc>
      </w:tr>
      <w:tr w:rsidR="006B6BA1">
        <w:trPr>
          <w:trHeight w:val="280"/>
        </w:trPr>
        <w:tc>
          <w:tcPr>
            <w:tcW w:w="10998" w:type="dxa"/>
            <w:gridSpan w:val="4"/>
            <w:tcBorders>
              <w:top w:val="nil"/>
              <w:left w:val="nil"/>
              <w:bottom w:val="single" w:sz="6" w:space="0" w:color="auto"/>
              <w:right w:val="nil"/>
            </w:tcBorders>
          </w:tcPr>
          <w:p w:rsidR="006B6BA1" w:rsidRDefault="006B6BA1">
            <w:pPr>
              <w:rPr>
                <w:rFonts w:ascii="Arial" w:hAnsi="Arial"/>
              </w:rPr>
            </w:pPr>
          </w:p>
        </w:tc>
      </w:tr>
    </w:tbl>
    <w:p w:rsidR="006B6BA1" w:rsidRDefault="006B6BA1">
      <w:pPr>
        <w:rPr>
          <w:rFonts w:ascii="Arial" w:hAnsi="Arial"/>
        </w:rPr>
      </w:pPr>
    </w:p>
    <w:tbl>
      <w:tblPr>
        <w:tblW w:w="0" w:type="auto"/>
        <w:tblLayout w:type="fixed"/>
        <w:tblLook w:val="0000"/>
      </w:tblPr>
      <w:tblGrid>
        <w:gridCol w:w="360"/>
        <w:gridCol w:w="360"/>
        <w:gridCol w:w="1440"/>
        <w:gridCol w:w="8838"/>
      </w:tblGrid>
      <w:tr w:rsidR="006B6BA1">
        <w:trPr>
          <w:trHeight w:val="280"/>
        </w:trPr>
        <w:tc>
          <w:tcPr>
            <w:tcW w:w="360" w:type="dxa"/>
            <w:tcBorders>
              <w:top w:val="single" w:sz="6" w:space="0" w:color="auto"/>
              <w:left w:val="single" w:sz="6" w:space="0" w:color="auto"/>
              <w:bottom w:val="single" w:sz="6" w:space="0" w:color="auto"/>
              <w:right w:val="single" w:sz="6" w:space="0" w:color="auto"/>
            </w:tcBorders>
          </w:tcPr>
          <w:p w:rsidR="006B6BA1" w:rsidRDefault="006B6BA1">
            <w:pPr>
              <w:rPr>
                <w:rFonts w:ascii="Arial" w:hAnsi="Arial"/>
              </w:rPr>
            </w:pPr>
          </w:p>
        </w:tc>
        <w:tc>
          <w:tcPr>
            <w:tcW w:w="360" w:type="dxa"/>
            <w:tcBorders>
              <w:top w:val="nil"/>
              <w:left w:val="nil"/>
              <w:bottom w:val="nil"/>
              <w:right w:val="nil"/>
            </w:tcBorders>
          </w:tcPr>
          <w:p w:rsidR="006B6BA1" w:rsidRDefault="006B6BA1">
            <w:pPr>
              <w:rPr>
                <w:rFonts w:ascii="Arial" w:hAnsi="Arial"/>
              </w:rPr>
            </w:pPr>
          </w:p>
        </w:tc>
        <w:tc>
          <w:tcPr>
            <w:tcW w:w="1440" w:type="dxa"/>
            <w:tcBorders>
              <w:top w:val="nil"/>
              <w:left w:val="nil"/>
              <w:bottom w:val="nil"/>
              <w:right w:val="nil"/>
            </w:tcBorders>
          </w:tcPr>
          <w:p w:rsidR="006B6BA1" w:rsidRDefault="00B60CC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6B6BA1" w:rsidRDefault="006B6BA1">
            <w:pPr>
              <w:rPr>
                <w:rFonts w:ascii="Arial" w:hAnsi="Arial"/>
              </w:rPr>
            </w:pPr>
          </w:p>
        </w:tc>
      </w:tr>
      <w:tr w:rsidR="006B6BA1">
        <w:trPr>
          <w:trHeight w:val="280"/>
        </w:trPr>
        <w:tc>
          <w:tcPr>
            <w:tcW w:w="10998" w:type="dxa"/>
            <w:gridSpan w:val="4"/>
            <w:tcBorders>
              <w:top w:val="nil"/>
              <w:left w:val="nil"/>
              <w:bottom w:val="single" w:sz="6" w:space="0" w:color="auto"/>
              <w:right w:val="nil"/>
            </w:tcBorders>
          </w:tcPr>
          <w:p w:rsidR="006B6BA1" w:rsidRDefault="006B6BA1">
            <w:pPr>
              <w:rPr>
                <w:rFonts w:ascii="Arial" w:hAnsi="Arial"/>
              </w:rPr>
            </w:pPr>
          </w:p>
        </w:tc>
      </w:tr>
    </w:tbl>
    <w:p w:rsidR="006B6BA1" w:rsidRDefault="006B6BA1">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6B6BA1">
        <w:trPr>
          <w:trHeight w:val="280"/>
        </w:trPr>
        <w:tc>
          <w:tcPr>
            <w:tcW w:w="2880" w:type="dxa"/>
            <w:tcBorders>
              <w:top w:val="single" w:sz="12" w:space="0" w:color="auto"/>
              <w:left w:val="nil"/>
              <w:bottom w:val="single" w:sz="6" w:space="0" w:color="auto"/>
              <w:right w:val="single" w:sz="6" w:space="0" w:color="auto"/>
            </w:tcBorders>
          </w:tcPr>
          <w:p w:rsidR="006B6BA1" w:rsidRDefault="00B60CC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6B6BA1" w:rsidRDefault="00B60CC5">
            <w:pPr>
              <w:jc w:val="center"/>
              <w:rPr>
                <w:rFonts w:ascii="Arial" w:hAnsi="Arial"/>
              </w:rPr>
            </w:pPr>
            <w:r>
              <w:rPr>
                <w:rFonts w:ascii="Arial" w:hAnsi="Arial"/>
                <w:b/>
                <w:sz w:val="24"/>
              </w:rPr>
              <w:t>Statement</w:t>
            </w:r>
          </w:p>
        </w:tc>
      </w:tr>
      <w:tr w:rsidR="006B6BA1" w:rsidTr="00B60CC5">
        <w:tc>
          <w:tcPr>
            <w:tcW w:w="2880" w:type="dxa"/>
            <w:tcBorders>
              <w:top w:val="single" w:sz="6" w:space="0" w:color="auto"/>
              <w:left w:val="nil"/>
              <w:bottom w:val="single" w:sz="6" w:space="0" w:color="auto"/>
              <w:right w:val="single" w:sz="6" w:space="0" w:color="auto"/>
            </w:tcBorders>
          </w:tcPr>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tc>
        <w:tc>
          <w:tcPr>
            <w:tcW w:w="8118" w:type="dxa"/>
            <w:tcBorders>
              <w:top w:val="single" w:sz="6" w:space="0" w:color="auto"/>
              <w:left w:val="single" w:sz="6" w:space="0" w:color="auto"/>
              <w:bottom w:val="single" w:sz="6" w:space="0" w:color="auto"/>
              <w:right w:val="nil"/>
            </w:tcBorders>
          </w:tcPr>
          <w:p w:rsidR="006B6BA1" w:rsidRDefault="006B6BA1">
            <w:pPr>
              <w:rPr>
                <w:rFonts w:ascii="Arial" w:hAnsi="Arial"/>
                <w:b/>
              </w:rPr>
            </w:pPr>
          </w:p>
          <w:p w:rsidR="006B6BA1" w:rsidRDefault="004F7417">
            <w:pPr>
              <w:rPr>
                <w:rFonts w:ascii="Arial" w:hAnsi="Arial"/>
                <w:b/>
              </w:rPr>
            </w:pPr>
            <w:r>
              <w:rPr>
                <w:rFonts w:ascii="Arial" w:hAnsi="Arial"/>
                <w:b/>
              </w:rPr>
              <w:t>Policy for Planning Professional Development</w:t>
            </w:r>
          </w:p>
          <w:p w:rsidR="004F7417" w:rsidRDefault="004F7417">
            <w:pPr>
              <w:rPr>
                <w:rFonts w:ascii="Arial" w:hAnsi="Arial"/>
                <w:b/>
              </w:rPr>
            </w:pPr>
            <w:r>
              <w:rPr>
                <w:rFonts w:ascii="Arial" w:hAnsi="Arial"/>
                <w:b/>
              </w:rPr>
              <w:t>The Professional Learning Community Leader group, along with the Principal and the Administrative Team, shall ensure that the professional growth and development needs of the staff are determined first by the School Improvement Grant goals and action steps and then the 30-60-90 Day School Improvement Planning process.  The Principal shall ensure that the professional development activities and work include the other schools in the district, as they transition students to Leslie County High School, and that the activities are based on current data and situations that arise from Professional Learning Community work.  The PLC protocol shall serve as a guide to focus the work of the SIG and the 30-60-90 Day Plan.  Week four of the protocol allows for job-embedded professional development needed to accomplish the goals and activities of the plans.  The mode and time slots for appropriate professional development sessions will be chosen by the Administrative Team and the PLC Leaders.</w:t>
            </w:r>
          </w:p>
          <w:p w:rsidR="004F7417" w:rsidRDefault="004F7417">
            <w:pPr>
              <w:rPr>
                <w:rFonts w:ascii="Arial" w:hAnsi="Arial"/>
                <w:b/>
              </w:rPr>
            </w:pPr>
          </w:p>
          <w:p w:rsidR="004F7417" w:rsidRDefault="004F7417">
            <w:pPr>
              <w:rPr>
                <w:rFonts w:ascii="Arial" w:hAnsi="Arial"/>
                <w:b/>
              </w:rPr>
            </w:pPr>
            <w:r>
              <w:rPr>
                <w:rFonts w:ascii="Arial" w:hAnsi="Arial"/>
                <w:b/>
              </w:rPr>
              <w:t>Approval of the 30-60-90 Day School Improvement Plan will also constitute approval of the school professional development offerings for the coming year.  Professional development that is not included in the school’s improvement plan will not be approved by the Principal unless there is an individual need that is included in the individual’s evaluation and professional growth plan.</w:t>
            </w:r>
          </w:p>
          <w:p w:rsidR="004F7417" w:rsidRDefault="004F7417">
            <w:pPr>
              <w:rPr>
                <w:rFonts w:ascii="Arial" w:hAnsi="Arial"/>
                <w:b/>
              </w:rPr>
            </w:pPr>
          </w:p>
          <w:p w:rsidR="004F7417" w:rsidRDefault="004F7417">
            <w:pPr>
              <w:rPr>
                <w:rFonts w:ascii="Arial" w:hAnsi="Arial"/>
                <w:b/>
              </w:rPr>
            </w:pPr>
            <w:r>
              <w:rPr>
                <w:rFonts w:ascii="Arial" w:hAnsi="Arial"/>
                <w:b/>
              </w:rPr>
              <w:t>The effectiveness of current professional development practice on student growth and achievement will be monitored through the unit of study rubric, walk-through data, and student performance data in the Data Notebooks.  Results will be reported to the school council monthly.</w:t>
            </w: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p w:rsidR="006B6BA1" w:rsidRDefault="006B6BA1">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6B6BA1" w:rsidRDefault="006B6BA1">
      <w:pPr>
        <w:rPr>
          <w:rFonts w:ascii="Arial" w:hAnsi="Arial"/>
        </w:rPr>
      </w:pPr>
    </w:p>
    <w:p w:rsidR="006B6BA1" w:rsidRDefault="00B60CC5">
      <w:pPr>
        <w:tabs>
          <w:tab w:val="right" w:pos="1440"/>
        </w:tabs>
        <w:rPr>
          <w:rFonts w:ascii="Arial" w:hAnsi="Arial"/>
          <w:b/>
          <w:sz w:val="24"/>
        </w:rPr>
      </w:pPr>
      <w:r>
        <w:rPr>
          <w:rFonts w:ascii="Arial" w:hAnsi="Arial"/>
          <w:b/>
          <w:sz w:val="24"/>
        </w:rPr>
        <w:tab/>
        <w:t xml:space="preserve">      </w:t>
      </w:r>
      <w:proofErr w:type="gramStart"/>
      <w:r>
        <w:rPr>
          <w:rFonts w:ascii="Arial" w:hAnsi="Arial"/>
          <w:b/>
          <w:sz w:val="24"/>
        </w:rPr>
        <w:t xml:space="preserve">Adopted  </w:t>
      </w:r>
      <w:r w:rsidR="00064BF2">
        <w:rPr>
          <w:rFonts w:ascii="Arial" w:hAnsi="Arial"/>
          <w:b/>
          <w:sz w:val="24"/>
        </w:rPr>
        <w:t>5</w:t>
      </w:r>
      <w:proofErr w:type="gramEnd"/>
      <w:r w:rsidR="00064BF2">
        <w:rPr>
          <w:rFonts w:ascii="Arial" w:hAnsi="Arial"/>
          <w:b/>
          <w:sz w:val="24"/>
        </w:rPr>
        <w:t>-19-2011</w:t>
      </w:r>
      <w:r w:rsidR="00064BF2">
        <w:rPr>
          <w:rFonts w:ascii="Arial" w:hAnsi="Arial"/>
          <w:b/>
          <w:sz w:val="24"/>
        </w:rPr>
        <w:tab/>
      </w:r>
      <w:r w:rsidR="00064BF2">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6B6BA1" w:rsidRDefault="00B60CC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6B6BA1" w:rsidRDefault="00B60CC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6B6BA1" w:rsidSect="006B6BA1">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64BF2"/>
    <w:rsid w:val="004C17EC"/>
    <w:rsid w:val="004F7417"/>
    <w:rsid w:val="00545B84"/>
    <w:rsid w:val="006B6BA1"/>
    <w:rsid w:val="007773EC"/>
    <w:rsid w:val="008B4C5B"/>
    <w:rsid w:val="00B015C0"/>
    <w:rsid w:val="00B60CC5"/>
    <w:rsid w:val="00E9307B"/>
    <w:rsid w:val="00F11F53"/>
    <w:rsid w:val="00FF2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A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A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 FORMAT_</vt:lpstr>
    </vt:vector>
  </TitlesOfParts>
  <Company>LESLIE CO. BOARD OF EDUCATION</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creator>LESLIE CO. BOARD OF EDUCATION</dc:creator>
  <cp:lastModifiedBy>W. Todd Horton</cp:lastModifiedBy>
  <cp:revision>3</cp:revision>
  <cp:lastPrinted>2012-03-08T18:50:00Z</cp:lastPrinted>
  <dcterms:created xsi:type="dcterms:W3CDTF">2012-03-08T15:20:00Z</dcterms:created>
  <dcterms:modified xsi:type="dcterms:W3CDTF">2012-03-08T18:59:00Z</dcterms:modified>
</cp:coreProperties>
</file>